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E3" w:rsidRDefault="007C36E3" w:rsidP="007C36E3">
      <w:pPr>
        <w:jc w:val="center"/>
        <w:rPr>
          <w:rFonts w:ascii="Segoe UI Light" w:hAnsi="Segoe UI Light"/>
          <w:b/>
          <w:sz w:val="24"/>
          <w:szCs w:val="24"/>
        </w:rPr>
      </w:pPr>
      <w:r w:rsidRPr="007C36E3">
        <w:rPr>
          <w:rFonts w:ascii="Segoe UI Light" w:hAnsi="Segoe UI Light"/>
          <w:b/>
          <w:sz w:val="24"/>
          <w:szCs w:val="24"/>
        </w:rPr>
        <w:t>A framework of approaches to research supervision (Lee, 2008)</w:t>
      </w:r>
    </w:p>
    <w:p w:rsidR="007C36E3" w:rsidRDefault="007C36E3" w:rsidP="007C36E3">
      <w:pPr>
        <w:rPr>
          <w:rFonts w:ascii="Segoe UI Light" w:hAnsi="Segoe UI Light"/>
          <w:sz w:val="24"/>
          <w:szCs w:val="24"/>
        </w:rPr>
      </w:pPr>
      <w:r>
        <w:rPr>
          <w:rFonts w:ascii="Segoe UI Light" w:hAnsi="Segoe UI Light"/>
          <w:sz w:val="24"/>
          <w:szCs w:val="24"/>
        </w:rPr>
        <w:t>Lee’s work is based on interviews with a sample of supervisors from the UK and USA who are recognised as ‘excellent’ by their peers and students.</w:t>
      </w:r>
    </w:p>
    <w:p w:rsidR="007C36E3" w:rsidRDefault="007C36E3" w:rsidP="007C36E3">
      <w:pPr>
        <w:rPr>
          <w:rFonts w:ascii="Segoe UI Light" w:hAnsi="Segoe UI Light"/>
          <w:sz w:val="24"/>
          <w:szCs w:val="24"/>
        </w:rPr>
      </w:pPr>
      <w:r>
        <w:rPr>
          <w:rFonts w:ascii="Segoe UI Light" w:hAnsi="Segoe UI Light"/>
          <w:sz w:val="24"/>
          <w:szCs w:val="24"/>
        </w:rPr>
        <w:t xml:space="preserve">A framework that identified five main approaches to supervision emerged from the data. Although separated </w:t>
      </w:r>
      <w:r w:rsidR="009C0610">
        <w:rPr>
          <w:rFonts w:ascii="Segoe UI Light" w:hAnsi="Segoe UI Light"/>
          <w:sz w:val="24"/>
          <w:szCs w:val="24"/>
        </w:rPr>
        <w:t>out for clarity in the table below</w:t>
      </w:r>
      <w:r>
        <w:rPr>
          <w:rFonts w:ascii="Segoe UI Light" w:hAnsi="Segoe UI Light"/>
          <w:sz w:val="24"/>
          <w:szCs w:val="24"/>
        </w:rPr>
        <w:t>, the approaches intertwine and are not considered independent of one another.</w:t>
      </w:r>
      <w:r w:rsidR="009C0610">
        <w:rPr>
          <w:rFonts w:ascii="Segoe UI Light" w:hAnsi="Segoe UI Light"/>
          <w:sz w:val="24"/>
          <w:szCs w:val="24"/>
        </w:rPr>
        <w:t xml:space="preserve"> </w:t>
      </w:r>
    </w:p>
    <w:tbl>
      <w:tblPr>
        <w:tblStyle w:val="TableGrid"/>
        <w:tblW w:w="0" w:type="auto"/>
        <w:tblLook w:val="04A0" w:firstRow="1" w:lastRow="0" w:firstColumn="1" w:lastColumn="0" w:noHBand="0" w:noVBand="1"/>
      </w:tblPr>
      <w:tblGrid>
        <w:gridCol w:w="1435"/>
        <w:gridCol w:w="1606"/>
        <w:gridCol w:w="1686"/>
        <w:gridCol w:w="1341"/>
        <w:gridCol w:w="1634"/>
        <w:gridCol w:w="1540"/>
      </w:tblGrid>
      <w:tr w:rsidR="007C36E3" w:rsidTr="00576F15">
        <w:tc>
          <w:tcPr>
            <w:tcW w:w="9242" w:type="dxa"/>
            <w:gridSpan w:val="6"/>
            <w:tcBorders>
              <w:bottom w:val="single" w:sz="4" w:space="0" w:color="auto"/>
            </w:tcBorders>
          </w:tcPr>
          <w:p w:rsidR="007C36E3" w:rsidRDefault="007C36E3" w:rsidP="007C36E3">
            <w:pPr>
              <w:rPr>
                <w:rFonts w:ascii="Segoe UI Light" w:hAnsi="Segoe UI Light"/>
                <w:sz w:val="24"/>
                <w:szCs w:val="24"/>
              </w:rPr>
            </w:pPr>
            <w:r w:rsidRPr="00576F15">
              <w:rPr>
                <w:rFonts w:ascii="Segoe UI Light" w:hAnsi="Segoe UI Light"/>
                <w:b/>
                <w:sz w:val="24"/>
                <w:szCs w:val="24"/>
              </w:rPr>
              <w:t>Professional</w:t>
            </w:r>
            <w:r>
              <w:rPr>
                <w:rFonts w:ascii="Segoe UI Light" w:hAnsi="Segoe UI Light"/>
                <w:sz w:val="24"/>
                <w:szCs w:val="24"/>
              </w:rPr>
              <w:t>---------------------------------------------------------------------</w:t>
            </w:r>
            <w:r w:rsidRPr="00576F15">
              <w:rPr>
                <w:rFonts w:ascii="Segoe UI Light" w:hAnsi="Segoe UI Light"/>
                <w:b/>
                <w:sz w:val="24"/>
                <w:szCs w:val="24"/>
              </w:rPr>
              <w:t>Personal</w:t>
            </w:r>
          </w:p>
        </w:tc>
      </w:tr>
      <w:tr w:rsidR="007C36E3" w:rsidTr="00576F15">
        <w:tc>
          <w:tcPr>
            <w:tcW w:w="1536" w:type="dxa"/>
            <w:tcBorders>
              <w:bottom w:val="single" w:sz="4" w:space="0" w:color="auto"/>
            </w:tcBorders>
            <w:shd w:val="pct12" w:color="auto" w:fill="auto"/>
          </w:tcPr>
          <w:p w:rsidR="007C36E3" w:rsidRPr="00576F15" w:rsidRDefault="007C36E3" w:rsidP="007C36E3">
            <w:pPr>
              <w:rPr>
                <w:rFonts w:ascii="Segoe UI Light" w:hAnsi="Segoe UI Light"/>
                <w:b/>
                <w:sz w:val="24"/>
                <w:szCs w:val="24"/>
              </w:rPr>
            </w:pPr>
          </w:p>
        </w:tc>
        <w:tc>
          <w:tcPr>
            <w:tcW w:w="1530"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Functional</w:t>
            </w:r>
          </w:p>
        </w:tc>
        <w:tc>
          <w:tcPr>
            <w:tcW w:w="1540"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Enculturation</w:t>
            </w:r>
          </w:p>
        </w:tc>
        <w:tc>
          <w:tcPr>
            <w:tcW w:w="1522"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Critical thinking</w:t>
            </w:r>
          </w:p>
        </w:tc>
        <w:tc>
          <w:tcPr>
            <w:tcW w:w="1573"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Emancipation</w:t>
            </w:r>
          </w:p>
        </w:tc>
        <w:tc>
          <w:tcPr>
            <w:tcW w:w="1541"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 xml:space="preserve">Relationship development </w:t>
            </w:r>
          </w:p>
        </w:tc>
      </w:tr>
      <w:tr w:rsidR="007C36E3" w:rsidTr="00576F15">
        <w:tc>
          <w:tcPr>
            <w:tcW w:w="1536"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Supervisor’s activity</w:t>
            </w:r>
          </w:p>
        </w:tc>
        <w:tc>
          <w:tcPr>
            <w:tcW w:w="1530" w:type="dxa"/>
          </w:tcPr>
          <w:p w:rsidR="007C36E3" w:rsidRDefault="007C36E3" w:rsidP="007C36E3">
            <w:pPr>
              <w:rPr>
                <w:rFonts w:ascii="Segoe UI Light" w:hAnsi="Segoe UI Light"/>
                <w:sz w:val="24"/>
                <w:szCs w:val="24"/>
              </w:rPr>
            </w:pPr>
            <w:r>
              <w:rPr>
                <w:rFonts w:ascii="Segoe UI Light" w:hAnsi="Segoe UI Light"/>
                <w:sz w:val="24"/>
                <w:szCs w:val="24"/>
              </w:rPr>
              <w:t>Rational progression through tasks</w:t>
            </w:r>
          </w:p>
        </w:tc>
        <w:tc>
          <w:tcPr>
            <w:tcW w:w="1540" w:type="dxa"/>
          </w:tcPr>
          <w:p w:rsidR="007C36E3" w:rsidRDefault="007C36E3" w:rsidP="007C36E3">
            <w:pPr>
              <w:rPr>
                <w:rFonts w:ascii="Segoe UI Light" w:hAnsi="Segoe UI Light"/>
                <w:sz w:val="24"/>
                <w:szCs w:val="24"/>
              </w:rPr>
            </w:pPr>
            <w:r>
              <w:rPr>
                <w:rFonts w:ascii="Segoe UI Light" w:hAnsi="Segoe UI Light"/>
                <w:sz w:val="24"/>
                <w:szCs w:val="24"/>
              </w:rPr>
              <w:t>Gatekeeping</w:t>
            </w:r>
          </w:p>
        </w:tc>
        <w:tc>
          <w:tcPr>
            <w:tcW w:w="1522" w:type="dxa"/>
          </w:tcPr>
          <w:p w:rsidR="007C36E3" w:rsidRDefault="007C36E3" w:rsidP="007C36E3">
            <w:pPr>
              <w:rPr>
                <w:rFonts w:ascii="Segoe UI Light" w:hAnsi="Segoe UI Light"/>
                <w:sz w:val="24"/>
                <w:szCs w:val="24"/>
              </w:rPr>
            </w:pPr>
            <w:r>
              <w:rPr>
                <w:rFonts w:ascii="Segoe UI Light" w:hAnsi="Segoe UI Light"/>
                <w:sz w:val="24"/>
                <w:szCs w:val="24"/>
              </w:rPr>
              <w:t>Evaluation, challenge</w:t>
            </w:r>
          </w:p>
        </w:tc>
        <w:tc>
          <w:tcPr>
            <w:tcW w:w="1573" w:type="dxa"/>
          </w:tcPr>
          <w:p w:rsidR="007C36E3" w:rsidRDefault="007C36E3" w:rsidP="007C36E3">
            <w:pPr>
              <w:rPr>
                <w:rFonts w:ascii="Segoe UI Light" w:hAnsi="Segoe UI Light"/>
                <w:sz w:val="24"/>
                <w:szCs w:val="24"/>
              </w:rPr>
            </w:pPr>
            <w:r>
              <w:rPr>
                <w:rFonts w:ascii="Segoe UI Light" w:hAnsi="Segoe UI Light"/>
                <w:sz w:val="24"/>
                <w:szCs w:val="24"/>
              </w:rPr>
              <w:t>Mentoring, supporting constructivism</w:t>
            </w:r>
          </w:p>
        </w:tc>
        <w:tc>
          <w:tcPr>
            <w:tcW w:w="1541" w:type="dxa"/>
          </w:tcPr>
          <w:p w:rsidR="007C36E3" w:rsidRDefault="007C36E3" w:rsidP="007C36E3">
            <w:pPr>
              <w:rPr>
                <w:rFonts w:ascii="Segoe UI Light" w:hAnsi="Segoe UI Light"/>
                <w:sz w:val="24"/>
                <w:szCs w:val="24"/>
              </w:rPr>
            </w:pPr>
            <w:r>
              <w:rPr>
                <w:rFonts w:ascii="Segoe UI Light" w:hAnsi="Segoe UI Light"/>
                <w:sz w:val="24"/>
                <w:szCs w:val="24"/>
              </w:rPr>
              <w:t>Supervising by experience, developing a relationship</w:t>
            </w:r>
          </w:p>
        </w:tc>
      </w:tr>
      <w:tr w:rsidR="007C36E3" w:rsidTr="00576F15">
        <w:tc>
          <w:tcPr>
            <w:tcW w:w="1536"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Supervisor’s knowledge and skills</w:t>
            </w:r>
          </w:p>
        </w:tc>
        <w:tc>
          <w:tcPr>
            <w:tcW w:w="1530" w:type="dxa"/>
          </w:tcPr>
          <w:p w:rsidR="007C36E3" w:rsidRDefault="007C36E3" w:rsidP="007C36E3">
            <w:pPr>
              <w:rPr>
                <w:rFonts w:ascii="Segoe UI Light" w:hAnsi="Segoe UI Light"/>
                <w:sz w:val="24"/>
                <w:szCs w:val="24"/>
              </w:rPr>
            </w:pPr>
            <w:r>
              <w:rPr>
                <w:rFonts w:ascii="Segoe UI Light" w:hAnsi="Segoe UI Light"/>
                <w:sz w:val="24"/>
                <w:szCs w:val="24"/>
              </w:rPr>
              <w:t>Directing, project management, negotiation</w:t>
            </w:r>
          </w:p>
        </w:tc>
        <w:tc>
          <w:tcPr>
            <w:tcW w:w="1540" w:type="dxa"/>
          </w:tcPr>
          <w:p w:rsidR="007C36E3" w:rsidRDefault="007C36E3" w:rsidP="007C36E3">
            <w:pPr>
              <w:rPr>
                <w:rFonts w:ascii="Segoe UI Light" w:hAnsi="Segoe UI Light"/>
                <w:sz w:val="24"/>
                <w:szCs w:val="24"/>
              </w:rPr>
            </w:pPr>
            <w:r>
              <w:rPr>
                <w:rFonts w:ascii="Segoe UI Light" w:hAnsi="Segoe UI Light"/>
                <w:sz w:val="24"/>
                <w:szCs w:val="24"/>
              </w:rPr>
              <w:t>Diagnosis of deficiencies coaching</w:t>
            </w:r>
          </w:p>
        </w:tc>
        <w:tc>
          <w:tcPr>
            <w:tcW w:w="1522" w:type="dxa"/>
          </w:tcPr>
          <w:p w:rsidR="007C36E3" w:rsidRDefault="007C36E3" w:rsidP="007C36E3">
            <w:pPr>
              <w:rPr>
                <w:rFonts w:ascii="Segoe UI Light" w:hAnsi="Segoe UI Light"/>
                <w:sz w:val="24"/>
                <w:szCs w:val="24"/>
              </w:rPr>
            </w:pPr>
            <w:r>
              <w:rPr>
                <w:rFonts w:ascii="Segoe UI Light" w:hAnsi="Segoe UI Light"/>
                <w:sz w:val="24"/>
                <w:szCs w:val="24"/>
              </w:rPr>
              <w:t>Argument, analysis</w:t>
            </w:r>
          </w:p>
        </w:tc>
        <w:tc>
          <w:tcPr>
            <w:tcW w:w="1573" w:type="dxa"/>
          </w:tcPr>
          <w:p w:rsidR="007C36E3" w:rsidRDefault="007C36E3" w:rsidP="007C36E3">
            <w:pPr>
              <w:rPr>
                <w:rFonts w:ascii="Segoe UI Light" w:hAnsi="Segoe UI Light"/>
                <w:sz w:val="24"/>
                <w:szCs w:val="24"/>
              </w:rPr>
            </w:pPr>
            <w:r>
              <w:rPr>
                <w:rFonts w:ascii="Segoe UI Light" w:hAnsi="Segoe UI Light"/>
                <w:sz w:val="24"/>
                <w:szCs w:val="24"/>
              </w:rPr>
              <w:t>Facilitation, reflection</w:t>
            </w:r>
          </w:p>
        </w:tc>
        <w:tc>
          <w:tcPr>
            <w:tcW w:w="1541" w:type="dxa"/>
          </w:tcPr>
          <w:p w:rsidR="007C36E3" w:rsidRDefault="00576F15" w:rsidP="007C36E3">
            <w:pPr>
              <w:rPr>
                <w:rFonts w:ascii="Segoe UI Light" w:hAnsi="Segoe UI Light"/>
                <w:sz w:val="24"/>
                <w:szCs w:val="24"/>
              </w:rPr>
            </w:pPr>
            <w:r>
              <w:rPr>
                <w:rFonts w:ascii="Segoe UI Light" w:hAnsi="Segoe UI Light"/>
                <w:sz w:val="24"/>
                <w:szCs w:val="24"/>
              </w:rPr>
              <w:t>Integrity, managing conflict, emotional intelligence</w:t>
            </w:r>
          </w:p>
        </w:tc>
      </w:tr>
      <w:tr w:rsidR="007C36E3" w:rsidTr="00576F15">
        <w:tc>
          <w:tcPr>
            <w:tcW w:w="1536" w:type="dxa"/>
            <w:shd w:val="pct12" w:color="auto" w:fill="auto"/>
          </w:tcPr>
          <w:p w:rsidR="007C36E3" w:rsidRPr="00576F15" w:rsidRDefault="007C36E3" w:rsidP="007C36E3">
            <w:pPr>
              <w:rPr>
                <w:rFonts w:ascii="Segoe UI Light" w:hAnsi="Segoe UI Light"/>
                <w:b/>
                <w:sz w:val="24"/>
                <w:szCs w:val="24"/>
              </w:rPr>
            </w:pPr>
            <w:r w:rsidRPr="00576F15">
              <w:rPr>
                <w:rFonts w:ascii="Segoe UI Light" w:hAnsi="Segoe UI Light"/>
                <w:b/>
                <w:sz w:val="24"/>
                <w:szCs w:val="24"/>
              </w:rPr>
              <w:t>Possible student reaction</w:t>
            </w:r>
          </w:p>
        </w:tc>
        <w:tc>
          <w:tcPr>
            <w:tcW w:w="1530" w:type="dxa"/>
          </w:tcPr>
          <w:p w:rsidR="007C36E3" w:rsidRDefault="007C36E3" w:rsidP="007C36E3">
            <w:pPr>
              <w:rPr>
                <w:rFonts w:ascii="Segoe UI Light" w:hAnsi="Segoe UI Light"/>
                <w:sz w:val="24"/>
                <w:szCs w:val="24"/>
              </w:rPr>
            </w:pPr>
            <w:r>
              <w:rPr>
                <w:rFonts w:ascii="Segoe UI Light" w:hAnsi="Segoe UI Light"/>
                <w:sz w:val="24"/>
                <w:szCs w:val="24"/>
              </w:rPr>
              <w:t>Obedience, organised negotiation</w:t>
            </w:r>
          </w:p>
        </w:tc>
        <w:tc>
          <w:tcPr>
            <w:tcW w:w="1540" w:type="dxa"/>
          </w:tcPr>
          <w:p w:rsidR="007C36E3" w:rsidRDefault="007C36E3" w:rsidP="007C36E3">
            <w:pPr>
              <w:rPr>
                <w:rFonts w:ascii="Segoe UI Light" w:hAnsi="Segoe UI Light"/>
                <w:sz w:val="24"/>
                <w:szCs w:val="24"/>
              </w:rPr>
            </w:pPr>
            <w:r>
              <w:rPr>
                <w:rFonts w:ascii="Segoe UI Light" w:hAnsi="Segoe UI Light"/>
                <w:sz w:val="24"/>
                <w:szCs w:val="24"/>
              </w:rPr>
              <w:t>Role modelling, apprenticeship</w:t>
            </w:r>
          </w:p>
        </w:tc>
        <w:tc>
          <w:tcPr>
            <w:tcW w:w="1522" w:type="dxa"/>
          </w:tcPr>
          <w:p w:rsidR="007C36E3" w:rsidRDefault="007C36E3" w:rsidP="007C36E3">
            <w:pPr>
              <w:rPr>
                <w:rFonts w:ascii="Segoe UI Light" w:hAnsi="Segoe UI Light"/>
                <w:sz w:val="24"/>
                <w:szCs w:val="24"/>
              </w:rPr>
            </w:pPr>
            <w:r>
              <w:rPr>
                <w:rFonts w:ascii="Segoe UI Light" w:hAnsi="Segoe UI Light"/>
                <w:sz w:val="24"/>
                <w:szCs w:val="24"/>
              </w:rPr>
              <w:t>Constant inquiry, fight or flight</w:t>
            </w:r>
          </w:p>
        </w:tc>
        <w:tc>
          <w:tcPr>
            <w:tcW w:w="1573" w:type="dxa"/>
          </w:tcPr>
          <w:p w:rsidR="007C36E3" w:rsidRDefault="007C36E3" w:rsidP="007C36E3">
            <w:pPr>
              <w:rPr>
                <w:rFonts w:ascii="Segoe UI Light" w:hAnsi="Segoe UI Light"/>
                <w:sz w:val="24"/>
                <w:szCs w:val="24"/>
              </w:rPr>
            </w:pPr>
            <w:r>
              <w:rPr>
                <w:rFonts w:ascii="Segoe UI Light" w:hAnsi="Segoe UI Light"/>
                <w:sz w:val="24"/>
                <w:szCs w:val="24"/>
              </w:rPr>
              <w:t>Personal growth, reframing</w:t>
            </w:r>
          </w:p>
        </w:tc>
        <w:tc>
          <w:tcPr>
            <w:tcW w:w="1541" w:type="dxa"/>
          </w:tcPr>
          <w:p w:rsidR="007C36E3" w:rsidRDefault="00576F15" w:rsidP="007C36E3">
            <w:pPr>
              <w:rPr>
                <w:rFonts w:ascii="Segoe UI Light" w:hAnsi="Segoe UI Light"/>
                <w:sz w:val="24"/>
                <w:szCs w:val="24"/>
              </w:rPr>
            </w:pPr>
            <w:r>
              <w:rPr>
                <w:rFonts w:ascii="Segoe UI Light" w:hAnsi="Segoe UI Light"/>
                <w:sz w:val="24"/>
                <w:szCs w:val="24"/>
              </w:rPr>
              <w:t>A good team member, emotional intelligence</w:t>
            </w:r>
          </w:p>
        </w:tc>
      </w:tr>
    </w:tbl>
    <w:p w:rsidR="007C36E3" w:rsidRDefault="007C36E3" w:rsidP="007C36E3">
      <w:pPr>
        <w:rPr>
          <w:rFonts w:ascii="Segoe UI Light" w:hAnsi="Segoe UI Light"/>
          <w:sz w:val="24"/>
          <w:szCs w:val="24"/>
        </w:rPr>
      </w:pPr>
    </w:p>
    <w:p w:rsidR="00576F15" w:rsidRDefault="009C0610" w:rsidP="007C36E3">
      <w:pPr>
        <w:rPr>
          <w:rFonts w:ascii="Segoe UI Light" w:hAnsi="Segoe UI Light"/>
          <w:sz w:val="24"/>
          <w:szCs w:val="24"/>
        </w:rPr>
      </w:pPr>
      <w:r>
        <w:rPr>
          <w:rFonts w:ascii="Segoe UI Light" w:hAnsi="Segoe UI Light"/>
          <w:sz w:val="24"/>
          <w:szCs w:val="24"/>
        </w:rPr>
        <w:t xml:space="preserve">The five approaches are placed in the table moving from left (functional) to right (relationship development). Research by Lee (2009) shows that the supervisor who is outstanding will be able to work from any of the five approaches as it becomes appropriate. </w:t>
      </w:r>
      <w:r w:rsidR="00576F15">
        <w:rPr>
          <w:rFonts w:ascii="Segoe UI Light" w:hAnsi="Segoe UI Light"/>
          <w:sz w:val="24"/>
          <w:szCs w:val="24"/>
        </w:rPr>
        <w:t xml:space="preserve">Lee (2010) argues that supervisors who are aware of the strengths and weaknesses of </w:t>
      </w:r>
      <w:r w:rsidR="008137D9">
        <w:rPr>
          <w:rFonts w:ascii="Segoe UI Light" w:hAnsi="Segoe UI Light"/>
          <w:sz w:val="24"/>
          <w:szCs w:val="24"/>
        </w:rPr>
        <w:t>all of these approaches to supervision, and who are able to combine approaches appropriately will be better placed to develop their students.</w:t>
      </w:r>
      <w:r w:rsidR="0096532B">
        <w:rPr>
          <w:rFonts w:ascii="Segoe UI Light" w:hAnsi="Segoe UI Light"/>
          <w:sz w:val="24"/>
          <w:szCs w:val="24"/>
        </w:rPr>
        <w:br/>
      </w:r>
      <w:bookmarkStart w:id="0" w:name="_GoBack"/>
      <w:bookmarkEnd w:id="0"/>
    </w:p>
    <w:p w:rsidR="0096532B" w:rsidRPr="0096532B" w:rsidRDefault="009C0610" w:rsidP="0096532B">
      <w:pPr>
        <w:pStyle w:val="ListParagraph"/>
        <w:numPr>
          <w:ilvl w:val="0"/>
          <w:numId w:val="2"/>
        </w:numPr>
        <w:rPr>
          <w:rFonts w:ascii="Segoe UI Light" w:hAnsi="Segoe UI Light"/>
          <w:szCs w:val="24"/>
        </w:rPr>
      </w:pPr>
      <w:r w:rsidRPr="0096532B">
        <w:rPr>
          <w:rFonts w:ascii="Segoe UI Light" w:hAnsi="Segoe UI Light"/>
          <w:szCs w:val="24"/>
        </w:rPr>
        <w:t>Lee</w:t>
      </w:r>
      <w:r w:rsidR="0096532B" w:rsidRPr="0096532B">
        <w:rPr>
          <w:rFonts w:ascii="Segoe UI Light" w:hAnsi="Segoe UI Light"/>
          <w:szCs w:val="24"/>
        </w:rPr>
        <w:t>, A.</w:t>
      </w:r>
      <w:r w:rsidRPr="0096532B">
        <w:rPr>
          <w:rFonts w:ascii="Segoe UI Light" w:hAnsi="Segoe UI Light"/>
          <w:szCs w:val="24"/>
        </w:rPr>
        <w:t xml:space="preserve"> (2008)</w:t>
      </w:r>
      <w:r w:rsidR="0096532B" w:rsidRPr="0096532B">
        <w:rPr>
          <w:rFonts w:ascii="Segoe UI Light" w:hAnsi="Segoe UI Light"/>
          <w:szCs w:val="24"/>
        </w:rPr>
        <w:t xml:space="preserve"> </w:t>
      </w:r>
      <w:proofErr w:type="gramStart"/>
      <w:r w:rsidR="0096532B" w:rsidRPr="0096532B">
        <w:rPr>
          <w:rFonts w:ascii="Segoe UI Light" w:hAnsi="Segoe UI Light"/>
          <w:szCs w:val="24"/>
        </w:rPr>
        <w:t>How</w:t>
      </w:r>
      <w:proofErr w:type="gramEnd"/>
      <w:r w:rsidR="0096532B" w:rsidRPr="0096532B">
        <w:rPr>
          <w:rFonts w:ascii="Segoe UI Light" w:hAnsi="Segoe UI Light"/>
          <w:szCs w:val="24"/>
        </w:rPr>
        <w:t xml:space="preserve"> are doctoral students supervised? Concepts of research supervision. </w:t>
      </w:r>
      <w:r w:rsidR="0096532B" w:rsidRPr="0096532B">
        <w:rPr>
          <w:rFonts w:ascii="Segoe UI Light" w:hAnsi="Segoe UI Light"/>
          <w:i/>
          <w:szCs w:val="24"/>
        </w:rPr>
        <w:t>Studies in Higher Education.</w:t>
      </w:r>
      <w:r w:rsidR="0096532B" w:rsidRPr="0096532B">
        <w:rPr>
          <w:rFonts w:ascii="Segoe UI Light" w:hAnsi="Segoe UI Light"/>
          <w:szCs w:val="24"/>
        </w:rPr>
        <w:t xml:space="preserve"> 33(4)</w:t>
      </w:r>
    </w:p>
    <w:p w:rsidR="0096532B" w:rsidRPr="0096532B" w:rsidRDefault="009C0610" w:rsidP="0096532B">
      <w:pPr>
        <w:pStyle w:val="ListParagraph"/>
        <w:numPr>
          <w:ilvl w:val="0"/>
          <w:numId w:val="2"/>
        </w:numPr>
        <w:rPr>
          <w:rFonts w:ascii="Segoe UI Light" w:hAnsi="Segoe UI Light"/>
          <w:szCs w:val="24"/>
        </w:rPr>
      </w:pPr>
      <w:r w:rsidRPr="0096532B">
        <w:rPr>
          <w:rFonts w:ascii="Segoe UI Light" w:hAnsi="Segoe UI Light"/>
          <w:szCs w:val="24"/>
        </w:rPr>
        <w:t>Lee</w:t>
      </w:r>
      <w:r w:rsidR="0096532B" w:rsidRPr="0096532B">
        <w:rPr>
          <w:rFonts w:ascii="Segoe UI Light" w:hAnsi="Segoe UI Light"/>
          <w:szCs w:val="24"/>
        </w:rPr>
        <w:t>, A.</w:t>
      </w:r>
      <w:r w:rsidRPr="0096532B">
        <w:rPr>
          <w:rFonts w:ascii="Segoe UI Light" w:hAnsi="Segoe UI Light"/>
          <w:szCs w:val="24"/>
        </w:rPr>
        <w:t xml:space="preserve"> (2009</w:t>
      </w:r>
      <w:r w:rsidR="0096532B" w:rsidRPr="0096532B">
        <w:rPr>
          <w:rFonts w:ascii="Segoe UI Light" w:hAnsi="Segoe UI Light"/>
          <w:szCs w:val="24"/>
        </w:rPr>
        <w:t xml:space="preserve">) </w:t>
      </w:r>
      <w:proofErr w:type="gramStart"/>
      <w:r w:rsidR="0096532B" w:rsidRPr="0096532B">
        <w:rPr>
          <w:rFonts w:ascii="Segoe UI Light" w:hAnsi="Segoe UI Light"/>
          <w:szCs w:val="24"/>
        </w:rPr>
        <w:t>Some</w:t>
      </w:r>
      <w:proofErr w:type="gramEnd"/>
      <w:r w:rsidR="0096532B" w:rsidRPr="0096532B">
        <w:rPr>
          <w:rFonts w:ascii="Segoe UI Light" w:hAnsi="Segoe UI Light"/>
          <w:szCs w:val="24"/>
        </w:rPr>
        <w:t xml:space="preserve"> implications of European Initiatives for Doctoral Supervision. The Bologna Handbook.</w:t>
      </w:r>
    </w:p>
    <w:p w:rsidR="009C0610" w:rsidRPr="0096532B" w:rsidRDefault="0096532B" w:rsidP="0096532B">
      <w:pPr>
        <w:pStyle w:val="ListParagraph"/>
        <w:numPr>
          <w:ilvl w:val="0"/>
          <w:numId w:val="2"/>
        </w:numPr>
        <w:rPr>
          <w:rFonts w:ascii="Segoe UI Light" w:hAnsi="Segoe UI Light"/>
          <w:szCs w:val="24"/>
        </w:rPr>
      </w:pPr>
      <w:r w:rsidRPr="0096532B">
        <w:rPr>
          <w:rFonts w:ascii="Segoe UI Light" w:hAnsi="Segoe UI Light"/>
          <w:color w:val="333333"/>
          <w:sz w:val="20"/>
          <w:shd w:val="clear" w:color="auto" w:fill="FFFFFF"/>
        </w:rPr>
        <w:t>Lee, A (2010)</w:t>
      </w:r>
      <w:r w:rsidRPr="0096532B">
        <w:rPr>
          <w:rStyle w:val="apple-converted-space"/>
          <w:rFonts w:ascii="Segoe UI Light" w:hAnsi="Segoe UI Light"/>
          <w:color w:val="333333"/>
          <w:sz w:val="20"/>
          <w:shd w:val="clear" w:color="auto" w:fill="FFFFFF"/>
        </w:rPr>
        <w:t> </w:t>
      </w:r>
      <w:r w:rsidRPr="0096532B">
        <w:rPr>
          <w:rStyle w:val="Emphasis"/>
          <w:rFonts w:ascii="Segoe UI Light" w:hAnsi="Segoe UI Light"/>
          <w:color w:val="333333"/>
          <w:sz w:val="20"/>
          <w:bdr w:val="none" w:sz="0" w:space="0" w:color="auto" w:frame="1"/>
          <w:shd w:val="clear" w:color="auto" w:fill="FFFFFF"/>
        </w:rPr>
        <w:t>New Approaches to Doctoral Supervision: implications for educational developers.</w:t>
      </w:r>
      <w:r w:rsidRPr="0096532B">
        <w:rPr>
          <w:rFonts w:ascii="Segoe UI Light" w:hAnsi="Segoe UI Light"/>
          <w:color w:val="333333"/>
          <w:sz w:val="20"/>
          <w:shd w:val="clear" w:color="auto" w:fill="FFFFFF"/>
        </w:rPr>
        <w:t>  London. SEDA. 11.2</w:t>
      </w:r>
    </w:p>
    <w:sectPr w:rsidR="009C0610" w:rsidRPr="00965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106D"/>
    <w:multiLevelType w:val="hybridMultilevel"/>
    <w:tmpl w:val="A9D4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27E24"/>
    <w:multiLevelType w:val="hybridMultilevel"/>
    <w:tmpl w:val="133A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E3"/>
    <w:rsid w:val="00265983"/>
    <w:rsid w:val="00576F15"/>
    <w:rsid w:val="00766012"/>
    <w:rsid w:val="007C36E3"/>
    <w:rsid w:val="008137D9"/>
    <w:rsid w:val="0096532B"/>
    <w:rsid w:val="009C0610"/>
    <w:rsid w:val="00F8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532B"/>
  </w:style>
  <w:style w:type="character" w:styleId="Emphasis">
    <w:name w:val="Emphasis"/>
    <w:basedOn w:val="DefaultParagraphFont"/>
    <w:uiPriority w:val="20"/>
    <w:qFormat/>
    <w:rsid w:val="0096532B"/>
    <w:rPr>
      <w:i/>
      <w:iCs/>
    </w:rPr>
  </w:style>
  <w:style w:type="paragraph" w:styleId="ListParagraph">
    <w:name w:val="List Paragraph"/>
    <w:basedOn w:val="Normal"/>
    <w:uiPriority w:val="34"/>
    <w:qFormat/>
    <w:rsid w:val="00965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532B"/>
  </w:style>
  <w:style w:type="character" w:styleId="Emphasis">
    <w:name w:val="Emphasis"/>
    <w:basedOn w:val="DefaultParagraphFont"/>
    <w:uiPriority w:val="20"/>
    <w:qFormat/>
    <w:rsid w:val="0096532B"/>
    <w:rPr>
      <w:i/>
      <w:iCs/>
    </w:rPr>
  </w:style>
  <w:style w:type="paragraph" w:styleId="ListParagraph">
    <w:name w:val="List Paragraph"/>
    <w:basedOn w:val="Normal"/>
    <w:uiPriority w:val="34"/>
    <w:qFormat/>
    <w:rsid w:val="0096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979BF70E</Template>
  <TotalTime>50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Sisson</dc:creator>
  <cp:lastModifiedBy>Kelly Sisson</cp:lastModifiedBy>
  <cp:revision>2</cp:revision>
  <dcterms:created xsi:type="dcterms:W3CDTF">2015-09-24T08:59:00Z</dcterms:created>
  <dcterms:modified xsi:type="dcterms:W3CDTF">2015-09-24T13:56:00Z</dcterms:modified>
</cp:coreProperties>
</file>