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9A" w:rsidRDefault="00C45B7C" w:rsidP="0067358E">
      <w:pPr>
        <w:jc w:val="center"/>
        <w:rPr>
          <w:rFonts w:ascii="Segoe UI Light" w:hAnsi="Segoe UI Light"/>
          <w:b/>
          <w:sz w:val="24"/>
          <w:szCs w:val="24"/>
        </w:rPr>
      </w:pPr>
      <w:r w:rsidRPr="0067358E">
        <w:rPr>
          <w:rFonts w:ascii="Segoe UI Light" w:hAnsi="Segoe UI Light"/>
          <w:b/>
          <w:sz w:val="24"/>
          <w:szCs w:val="24"/>
        </w:rPr>
        <w:t>Strengths and weaknesses of the approaches to</w:t>
      </w:r>
      <w:r w:rsidR="00B30CF1">
        <w:rPr>
          <w:rFonts w:ascii="Segoe UI Light" w:hAnsi="Segoe UI Light"/>
          <w:b/>
          <w:sz w:val="24"/>
          <w:szCs w:val="24"/>
        </w:rPr>
        <w:t xml:space="preserve"> research supervision (Lee, 2012</w:t>
      </w:r>
      <w:r w:rsidRPr="0067358E">
        <w:rPr>
          <w:rFonts w:ascii="Segoe UI Light" w:hAnsi="Segoe UI Light"/>
          <w:b/>
          <w:sz w:val="24"/>
          <w:szCs w:val="24"/>
        </w:rPr>
        <w:t>)</w:t>
      </w:r>
    </w:p>
    <w:p w:rsidR="00B30CF1" w:rsidRPr="0067358E" w:rsidRDefault="00B30CF1" w:rsidP="0067358E">
      <w:pPr>
        <w:jc w:val="center"/>
        <w:rPr>
          <w:rFonts w:ascii="Segoe UI Light" w:hAnsi="Segoe UI Light"/>
          <w:b/>
          <w:sz w:val="24"/>
          <w:szCs w:val="24"/>
        </w:rPr>
      </w:pPr>
    </w:p>
    <w:tbl>
      <w:tblPr>
        <w:tblStyle w:val="TableGrid"/>
        <w:tblW w:w="0" w:type="auto"/>
        <w:tblLook w:val="04A0" w:firstRow="1" w:lastRow="0" w:firstColumn="1" w:lastColumn="0" w:noHBand="0" w:noVBand="1"/>
      </w:tblPr>
      <w:tblGrid>
        <w:gridCol w:w="3543"/>
        <w:gridCol w:w="3543"/>
        <w:gridCol w:w="3544"/>
        <w:gridCol w:w="3544"/>
      </w:tblGrid>
      <w:tr w:rsidR="00C45B7C" w:rsidRPr="0067358E" w:rsidTr="00C45B7C">
        <w:tc>
          <w:tcPr>
            <w:tcW w:w="3543" w:type="dxa"/>
          </w:tcPr>
          <w:p w:rsidR="00C45B7C" w:rsidRDefault="00C45B7C" w:rsidP="00B30CF1">
            <w:pPr>
              <w:jc w:val="center"/>
              <w:rPr>
                <w:rFonts w:ascii="Segoe UI Light" w:hAnsi="Segoe UI Light"/>
                <w:b/>
              </w:rPr>
            </w:pPr>
            <w:r w:rsidRPr="00B30CF1">
              <w:rPr>
                <w:rFonts w:ascii="Segoe UI Light" w:hAnsi="Segoe UI Light"/>
                <w:b/>
              </w:rPr>
              <w:t>Approaches to research supervision (Lee, 2008)</w:t>
            </w:r>
          </w:p>
          <w:p w:rsidR="00B30CF1" w:rsidRPr="00B30CF1" w:rsidRDefault="00B30CF1" w:rsidP="00B30CF1">
            <w:pPr>
              <w:jc w:val="center"/>
              <w:rPr>
                <w:rFonts w:ascii="Segoe UI Light" w:hAnsi="Segoe UI Light"/>
                <w:b/>
              </w:rPr>
            </w:pPr>
          </w:p>
        </w:tc>
        <w:tc>
          <w:tcPr>
            <w:tcW w:w="3543" w:type="dxa"/>
          </w:tcPr>
          <w:p w:rsidR="00C45B7C" w:rsidRPr="00B30CF1" w:rsidRDefault="00C45B7C" w:rsidP="00B30CF1">
            <w:pPr>
              <w:jc w:val="center"/>
              <w:rPr>
                <w:rFonts w:ascii="Segoe UI Light" w:hAnsi="Segoe UI Light"/>
                <w:b/>
              </w:rPr>
            </w:pPr>
            <w:r w:rsidRPr="00B30CF1">
              <w:rPr>
                <w:rFonts w:ascii="Segoe UI Light" w:hAnsi="Segoe UI Light"/>
                <w:b/>
              </w:rPr>
              <w:t>Key features</w:t>
            </w:r>
          </w:p>
        </w:tc>
        <w:tc>
          <w:tcPr>
            <w:tcW w:w="3544" w:type="dxa"/>
          </w:tcPr>
          <w:p w:rsidR="00C45B7C" w:rsidRPr="00B30CF1" w:rsidRDefault="00C45B7C" w:rsidP="00B30CF1">
            <w:pPr>
              <w:jc w:val="center"/>
              <w:rPr>
                <w:rFonts w:ascii="Segoe UI Light" w:hAnsi="Segoe UI Light"/>
                <w:b/>
              </w:rPr>
            </w:pPr>
            <w:r w:rsidRPr="00B30CF1">
              <w:rPr>
                <w:rFonts w:ascii="Segoe UI Light" w:hAnsi="Segoe UI Light"/>
                <w:b/>
              </w:rPr>
              <w:t>Strengths</w:t>
            </w:r>
          </w:p>
        </w:tc>
        <w:tc>
          <w:tcPr>
            <w:tcW w:w="3544" w:type="dxa"/>
          </w:tcPr>
          <w:p w:rsidR="00C45B7C" w:rsidRPr="00B30CF1" w:rsidRDefault="00C45B7C" w:rsidP="00B30CF1">
            <w:pPr>
              <w:jc w:val="center"/>
              <w:rPr>
                <w:rFonts w:ascii="Segoe UI Light" w:hAnsi="Segoe UI Light"/>
                <w:b/>
              </w:rPr>
            </w:pPr>
            <w:r w:rsidRPr="00B30CF1">
              <w:rPr>
                <w:rFonts w:ascii="Segoe UI Light" w:hAnsi="Segoe UI Light"/>
                <w:b/>
              </w:rPr>
              <w:t>Weaknesses</w:t>
            </w:r>
          </w:p>
        </w:tc>
      </w:tr>
      <w:tr w:rsidR="00C45B7C" w:rsidRPr="0067358E" w:rsidTr="00C45B7C">
        <w:tc>
          <w:tcPr>
            <w:tcW w:w="3543" w:type="dxa"/>
          </w:tcPr>
          <w:p w:rsidR="00C45B7C" w:rsidRPr="00B30CF1" w:rsidRDefault="00C45B7C">
            <w:pPr>
              <w:rPr>
                <w:rFonts w:ascii="Segoe UI Light" w:hAnsi="Segoe UI Light"/>
                <w:b/>
              </w:rPr>
            </w:pPr>
            <w:r w:rsidRPr="00B30CF1">
              <w:rPr>
                <w:rFonts w:ascii="Segoe UI Light" w:hAnsi="Segoe UI Light"/>
                <w:b/>
              </w:rPr>
              <w:t>Functional</w:t>
            </w:r>
          </w:p>
        </w:tc>
        <w:tc>
          <w:tcPr>
            <w:tcW w:w="3543" w:type="dxa"/>
          </w:tcPr>
          <w:p w:rsidR="00C45B7C" w:rsidRPr="0067358E" w:rsidRDefault="00C45B7C">
            <w:pPr>
              <w:rPr>
                <w:rFonts w:ascii="Segoe UI Light" w:hAnsi="Segoe UI Light"/>
              </w:rPr>
            </w:pPr>
            <w:r w:rsidRPr="0067358E">
              <w:rPr>
                <w:rFonts w:ascii="Segoe UI Light" w:hAnsi="Segoe UI Light"/>
              </w:rPr>
              <w:t>Planning, directing</w:t>
            </w:r>
            <w:r w:rsidR="004858D0" w:rsidRPr="0067358E">
              <w:rPr>
                <w:rFonts w:ascii="Segoe UI Light" w:hAnsi="Segoe UI Light"/>
              </w:rPr>
              <w:t xml:space="preserve"> and monitoring. The academic is aware of all the procedures, policies and timetables.</w:t>
            </w:r>
            <w:r w:rsidR="0067358E">
              <w:rPr>
                <w:rFonts w:ascii="Segoe UI Light" w:hAnsi="Segoe UI Light"/>
              </w:rPr>
              <w:t xml:space="preserve"> This approach requires clear objectives and regular meetings.</w:t>
            </w:r>
          </w:p>
        </w:tc>
        <w:tc>
          <w:tcPr>
            <w:tcW w:w="3544" w:type="dxa"/>
          </w:tcPr>
          <w:p w:rsidR="00283D9A" w:rsidRPr="00283D9A" w:rsidRDefault="00283D9A" w:rsidP="00283D9A">
            <w:pPr>
              <w:rPr>
                <w:rFonts w:ascii="Segoe UI Light" w:hAnsi="Segoe UI Light"/>
              </w:rPr>
            </w:pPr>
            <w:r w:rsidRPr="00283D9A">
              <w:rPr>
                <w:rFonts w:ascii="Segoe UI Light" w:hAnsi="Segoe UI Light"/>
              </w:rPr>
              <w:t>The research project is managed according to the procedures of the institution (Important in helping the student to complete to deadline)</w:t>
            </w:r>
          </w:p>
          <w:p w:rsidR="00283D9A" w:rsidRPr="0067358E" w:rsidRDefault="00283D9A">
            <w:pPr>
              <w:rPr>
                <w:rFonts w:ascii="Segoe UI Light" w:hAnsi="Segoe UI Light"/>
              </w:rPr>
            </w:pPr>
            <w:r>
              <w:rPr>
                <w:rFonts w:ascii="Segoe UI Light" w:hAnsi="Segoe UI Light"/>
              </w:rPr>
              <w:t>The student understands the stages that need to be processed, records are kept and timetables adhered to.</w:t>
            </w:r>
          </w:p>
        </w:tc>
        <w:tc>
          <w:tcPr>
            <w:tcW w:w="3544" w:type="dxa"/>
          </w:tcPr>
          <w:p w:rsidR="00C45B7C" w:rsidRPr="0067358E" w:rsidRDefault="00283D9A">
            <w:pPr>
              <w:rPr>
                <w:rFonts w:ascii="Segoe UI Light" w:hAnsi="Segoe UI Light"/>
              </w:rPr>
            </w:pPr>
            <w:r>
              <w:rPr>
                <w:rFonts w:ascii="Segoe UI Light" w:hAnsi="Segoe UI Light"/>
              </w:rPr>
              <w:t>Learning and research are not always ‘</w:t>
            </w:r>
            <w:proofErr w:type="spellStart"/>
            <w:r>
              <w:rPr>
                <w:rFonts w:ascii="Segoe UI Light" w:hAnsi="Segoe UI Light"/>
              </w:rPr>
              <w:t>timetableable</w:t>
            </w:r>
            <w:proofErr w:type="spellEnd"/>
            <w:r>
              <w:rPr>
                <w:rFonts w:ascii="Segoe UI Light" w:hAnsi="Segoe UI Light"/>
              </w:rPr>
              <w:t>’ activities. A functional approach may fulfil the institutional needs but might not allow for the highest quality work or most rewarding relationships.</w:t>
            </w:r>
          </w:p>
        </w:tc>
      </w:tr>
      <w:tr w:rsidR="00C45B7C" w:rsidRPr="0067358E" w:rsidTr="00C45B7C">
        <w:tc>
          <w:tcPr>
            <w:tcW w:w="3543" w:type="dxa"/>
          </w:tcPr>
          <w:p w:rsidR="00C45B7C" w:rsidRPr="00B30CF1" w:rsidRDefault="00C45B7C">
            <w:pPr>
              <w:rPr>
                <w:rFonts w:ascii="Segoe UI Light" w:hAnsi="Segoe UI Light"/>
                <w:b/>
              </w:rPr>
            </w:pPr>
            <w:r w:rsidRPr="00B30CF1">
              <w:rPr>
                <w:rFonts w:ascii="Segoe UI Light" w:hAnsi="Segoe UI Light"/>
                <w:b/>
              </w:rPr>
              <w:t>Enculturation</w:t>
            </w:r>
          </w:p>
        </w:tc>
        <w:tc>
          <w:tcPr>
            <w:tcW w:w="3543" w:type="dxa"/>
          </w:tcPr>
          <w:p w:rsidR="00C45B7C" w:rsidRPr="0067358E" w:rsidRDefault="004858D0">
            <w:pPr>
              <w:rPr>
                <w:rFonts w:ascii="Segoe UI Light" w:hAnsi="Segoe UI Light"/>
              </w:rPr>
            </w:pPr>
            <w:r w:rsidRPr="0067358E">
              <w:rPr>
                <w:rFonts w:ascii="Segoe UI Light" w:hAnsi="Segoe UI Light"/>
              </w:rPr>
              <w:t>Emphasises the importance of the process of socialisation into the discipline and department. Aligns with the notion of the research student as academic apprentice.</w:t>
            </w:r>
          </w:p>
        </w:tc>
        <w:tc>
          <w:tcPr>
            <w:tcW w:w="3544" w:type="dxa"/>
          </w:tcPr>
          <w:p w:rsidR="00C45B7C" w:rsidRPr="0067358E" w:rsidRDefault="003460E2">
            <w:pPr>
              <w:rPr>
                <w:rFonts w:ascii="Segoe UI Light" w:hAnsi="Segoe UI Light"/>
              </w:rPr>
            </w:pPr>
            <w:r>
              <w:rPr>
                <w:rFonts w:ascii="Segoe UI Light" w:hAnsi="Segoe UI Light"/>
              </w:rPr>
              <w:t>The student becomes a member of the academic community through opportunities to participate in seminars, conferences and teaching activities</w:t>
            </w:r>
            <w:r w:rsidR="00283D9A">
              <w:rPr>
                <w:rFonts w:ascii="Segoe UI Light" w:hAnsi="Segoe UI Light"/>
              </w:rPr>
              <w:t>. A strong identity is formed.</w:t>
            </w:r>
          </w:p>
        </w:tc>
        <w:tc>
          <w:tcPr>
            <w:tcW w:w="3544" w:type="dxa"/>
          </w:tcPr>
          <w:p w:rsidR="00C45B7C" w:rsidRPr="0067358E" w:rsidRDefault="003460E2">
            <w:pPr>
              <w:rPr>
                <w:rFonts w:ascii="Segoe UI Light" w:hAnsi="Segoe UI Light"/>
              </w:rPr>
            </w:pPr>
            <w:r>
              <w:rPr>
                <w:rFonts w:ascii="Segoe UI Light" w:hAnsi="Segoe UI Light"/>
              </w:rPr>
              <w:t>Power can play an important role here. The academic can hold the power in relation to regulating access to networks and can choose which gates to open. Conflict around who ‘owns’ the research may arise</w:t>
            </w:r>
            <w:r w:rsidR="00283D9A">
              <w:rPr>
                <w:rFonts w:ascii="Segoe UI Light" w:hAnsi="Segoe UI Light"/>
              </w:rPr>
              <w:t>. If the student wants to do their research differently conflict may arrive.</w:t>
            </w:r>
          </w:p>
        </w:tc>
      </w:tr>
      <w:tr w:rsidR="00C45B7C" w:rsidRPr="0067358E" w:rsidTr="00C45B7C">
        <w:tc>
          <w:tcPr>
            <w:tcW w:w="3543" w:type="dxa"/>
          </w:tcPr>
          <w:p w:rsidR="00C45B7C" w:rsidRPr="00B30CF1" w:rsidRDefault="00C45B7C">
            <w:pPr>
              <w:rPr>
                <w:rFonts w:ascii="Segoe UI Light" w:hAnsi="Segoe UI Light"/>
                <w:b/>
              </w:rPr>
            </w:pPr>
            <w:r w:rsidRPr="00B30CF1">
              <w:rPr>
                <w:rFonts w:ascii="Segoe UI Light" w:hAnsi="Segoe UI Light"/>
                <w:b/>
              </w:rPr>
              <w:t>Critical thinking</w:t>
            </w:r>
          </w:p>
        </w:tc>
        <w:tc>
          <w:tcPr>
            <w:tcW w:w="3543" w:type="dxa"/>
          </w:tcPr>
          <w:p w:rsidR="00C45B7C" w:rsidRPr="0067358E" w:rsidRDefault="00316CD4">
            <w:pPr>
              <w:rPr>
                <w:rFonts w:ascii="Segoe UI Light" w:hAnsi="Segoe UI Light"/>
              </w:rPr>
            </w:pPr>
            <w:r>
              <w:rPr>
                <w:rFonts w:ascii="Segoe UI Light" w:hAnsi="Segoe UI Light"/>
              </w:rPr>
              <w:t xml:space="preserve">Developing the </w:t>
            </w:r>
            <w:r w:rsidR="00B30CF1">
              <w:rPr>
                <w:rFonts w:ascii="Segoe UI Light" w:hAnsi="Segoe UI Light"/>
              </w:rPr>
              <w:t>students’</w:t>
            </w:r>
            <w:r>
              <w:rPr>
                <w:rFonts w:ascii="Segoe UI Light" w:hAnsi="Segoe UI Light"/>
              </w:rPr>
              <w:t xml:space="preserve"> ability to </w:t>
            </w:r>
            <w:proofErr w:type="gramStart"/>
            <w:r w:rsidR="00B30CF1">
              <w:rPr>
                <w:rFonts w:ascii="Segoe UI Light" w:hAnsi="Segoe UI Light"/>
              </w:rPr>
              <w:t>understand,</w:t>
            </w:r>
            <w:proofErr w:type="gramEnd"/>
            <w:r>
              <w:rPr>
                <w:rFonts w:ascii="Segoe UI Light" w:hAnsi="Segoe UI Light"/>
              </w:rPr>
              <w:t xml:space="preserve"> critique and create the </w:t>
            </w:r>
            <w:r w:rsidR="00B30CF1">
              <w:rPr>
                <w:rFonts w:ascii="Segoe UI Light" w:hAnsi="Segoe UI Light"/>
              </w:rPr>
              <w:t>argument. A more depersonalised approach so that thinking can take place free from emotion. Problem solving and reflection are highly encouraged.</w:t>
            </w:r>
          </w:p>
        </w:tc>
        <w:tc>
          <w:tcPr>
            <w:tcW w:w="3544" w:type="dxa"/>
          </w:tcPr>
          <w:p w:rsidR="00C45B7C" w:rsidRPr="0067358E" w:rsidRDefault="00316CD4">
            <w:pPr>
              <w:rPr>
                <w:rFonts w:ascii="Segoe UI Light" w:hAnsi="Segoe UI Light"/>
              </w:rPr>
            </w:pPr>
            <w:r>
              <w:rPr>
                <w:rFonts w:ascii="Segoe UI Light" w:hAnsi="Segoe UI Light"/>
              </w:rPr>
              <w:t>Appropriately carried out, sound arguments should ensue.</w:t>
            </w:r>
          </w:p>
        </w:tc>
        <w:tc>
          <w:tcPr>
            <w:tcW w:w="3544" w:type="dxa"/>
          </w:tcPr>
          <w:p w:rsidR="00C45B7C" w:rsidRPr="0067358E" w:rsidRDefault="00316CD4">
            <w:pPr>
              <w:rPr>
                <w:rFonts w:ascii="Segoe UI Light" w:hAnsi="Segoe UI Light"/>
              </w:rPr>
            </w:pPr>
            <w:r>
              <w:rPr>
                <w:rFonts w:ascii="Segoe UI Light" w:hAnsi="Segoe UI Light"/>
              </w:rPr>
              <w:t>Critical thinking can leave little room for creativity, which is important for new and original thinking. Applied inhumanely, critical thinking can be destructive both of new ideas and people.</w:t>
            </w:r>
          </w:p>
        </w:tc>
      </w:tr>
      <w:tr w:rsidR="00C45B7C" w:rsidRPr="0067358E" w:rsidTr="00C45B7C">
        <w:tc>
          <w:tcPr>
            <w:tcW w:w="3543" w:type="dxa"/>
          </w:tcPr>
          <w:p w:rsidR="00C45B7C" w:rsidRPr="00B30CF1" w:rsidRDefault="00C45B7C">
            <w:pPr>
              <w:rPr>
                <w:rFonts w:ascii="Segoe UI Light" w:hAnsi="Segoe UI Light"/>
                <w:b/>
              </w:rPr>
            </w:pPr>
            <w:r w:rsidRPr="00B30CF1">
              <w:rPr>
                <w:rFonts w:ascii="Segoe UI Light" w:hAnsi="Segoe UI Light"/>
                <w:b/>
              </w:rPr>
              <w:lastRenderedPageBreak/>
              <w:t>Emancipation</w:t>
            </w:r>
          </w:p>
        </w:tc>
        <w:tc>
          <w:tcPr>
            <w:tcW w:w="3543" w:type="dxa"/>
          </w:tcPr>
          <w:p w:rsidR="00C45B7C" w:rsidRPr="0067358E" w:rsidRDefault="004858D0">
            <w:pPr>
              <w:rPr>
                <w:rFonts w:ascii="Segoe UI Light" w:hAnsi="Segoe UI Light"/>
              </w:rPr>
            </w:pPr>
            <w:r w:rsidRPr="0067358E">
              <w:rPr>
                <w:rFonts w:ascii="Segoe UI Light" w:hAnsi="Segoe UI Light"/>
              </w:rPr>
              <w:t>Support and challenge to achieve personal transformation. The academic wants the student to find their own direction and is careful not to impose their own agenda.</w:t>
            </w:r>
          </w:p>
        </w:tc>
        <w:tc>
          <w:tcPr>
            <w:tcW w:w="3544" w:type="dxa"/>
          </w:tcPr>
          <w:p w:rsidR="00C45B7C" w:rsidRPr="0067358E" w:rsidRDefault="00316CD4">
            <w:pPr>
              <w:rPr>
                <w:rFonts w:ascii="Segoe UI Light" w:hAnsi="Segoe UI Light"/>
              </w:rPr>
            </w:pPr>
            <w:r>
              <w:rPr>
                <w:rFonts w:ascii="Segoe UI Light" w:hAnsi="Segoe UI Light"/>
              </w:rPr>
              <w:t>Encourages personal growth and an ability to cope with change, it can be life changing.</w:t>
            </w:r>
          </w:p>
        </w:tc>
        <w:tc>
          <w:tcPr>
            <w:tcW w:w="3544" w:type="dxa"/>
          </w:tcPr>
          <w:p w:rsidR="00C45B7C" w:rsidRPr="0067358E" w:rsidRDefault="00316CD4">
            <w:pPr>
              <w:rPr>
                <w:rFonts w:ascii="Segoe UI Light" w:hAnsi="Segoe UI Light"/>
              </w:rPr>
            </w:pPr>
            <w:r>
              <w:rPr>
                <w:rFonts w:ascii="Segoe UI Light" w:hAnsi="Segoe UI Light"/>
              </w:rPr>
              <w:t>Toxic mentoring can occur where the tutor abuses their power.</w:t>
            </w:r>
          </w:p>
        </w:tc>
      </w:tr>
      <w:tr w:rsidR="00C45B7C" w:rsidRPr="0067358E" w:rsidTr="00C45B7C">
        <w:tc>
          <w:tcPr>
            <w:tcW w:w="3543" w:type="dxa"/>
          </w:tcPr>
          <w:p w:rsidR="00C45B7C" w:rsidRPr="00B30CF1" w:rsidRDefault="00C45B7C">
            <w:pPr>
              <w:rPr>
                <w:rFonts w:ascii="Segoe UI Light" w:hAnsi="Segoe UI Light"/>
                <w:b/>
              </w:rPr>
            </w:pPr>
            <w:r w:rsidRPr="00B30CF1">
              <w:rPr>
                <w:rFonts w:ascii="Segoe UI Light" w:hAnsi="Segoe UI Light"/>
                <w:b/>
              </w:rPr>
              <w:t xml:space="preserve">Relationship Development </w:t>
            </w:r>
          </w:p>
        </w:tc>
        <w:tc>
          <w:tcPr>
            <w:tcW w:w="3543" w:type="dxa"/>
          </w:tcPr>
          <w:p w:rsidR="00C45B7C" w:rsidRPr="0067358E" w:rsidRDefault="004858D0">
            <w:pPr>
              <w:rPr>
                <w:rFonts w:ascii="Segoe UI Light" w:hAnsi="Segoe UI Light"/>
              </w:rPr>
            </w:pPr>
            <w:r w:rsidRPr="0067358E">
              <w:rPr>
                <w:rFonts w:ascii="Segoe UI Light" w:hAnsi="Segoe UI Light"/>
              </w:rPr>
              <w:t>Supervision characterised by friendship</w:t>
            </w:r>
            <w:r w:rsidR="00316CD4">
              <w:rPr>
                <w:rFonts w:ascii="Segoe UI Light" w:hAnsi="Segoe UI Light"/>
              </w:rPr>
              <w:t>. Conflict is avoided and problems solved with goodwill although appropriate boundaries are observed</w:t>
            </w:r>
          </w:p>
        </w:tc>
        <w:tc>
          <w:tcPr>
            <w:tcW w:w="3544" w:type="dxa"/>
          </w:tcPr>
          <w:p w:rsidR="00C45B7C" w:rsidRPr="0067358E" w:rsidRDefault="00316CD4">
            <w:pPr>
              <w:rPr>
                <w:rFonts w:ascii="Segoe UI Light" w:hAnsi="Segoe UI Light"/>
              </w:rPr>
            </w:pPr>
            <w:r>
              <w:rPr>
                <w:rFonts w:ascii="Segoe UI Light" w:hAnsi="Segoe UI Light"/>
              </w:rPr>
              <w:t>Relationships can continue long after graduation, both parties gain their self-esteem</w:t>
            </w:r>
          </w:p>
        </w:tc>
        <w:tc>
          <w:tcPr>
            <w:tcW w:w="3544" w:type="dxa"/>
          </w:tcPr>
          <w:p w:rsidR="00C45B7C" w:rsidRPr="0067358E" w:rsidRDefault="00316CD4">
            <w:pPr>
              <w:rPr>
                <w:rFonts w:ascii="Segoe UI Light" w:hAnsi="Segoe UI Light"/>
              </w:rPr>
            </w:pPr>
            <w:r>
              <w:rPr>
                <w:rFonts w:ascii="Segoe UI Light" w:hAnsi="Segoe UI Light"/>
              </w:rPr>
              <w:t>There is potential for harassment (on both sides), and if one person walks away the other can feel hurt and abandoned.</w:t>
            </w:r>
          </w:p>
        </w:tc>
      </w:tr>
    </w:tbl>
    <w:p w:rsidR="00C45B7C" w:rsidRDefault="00C45B7C"/>
    <w:p w:rsidR="00B30CF1" w:rsidRDefault="00B30CF1"/>
    <w:p w:rsidR="00B30CF1" w:rsidRDefault="00B30CF1"/>
    <w:p w:rsidR="00B30CF1" w:rsidRDefault="00B30CF1">
      <w:r>
        <w:t>A summary from Lee (2012) Successful Research Supervision: Advising students doing research.</w:t>
      </w:r>
      <w:bookmarkStart w:id="0" w:name="_GoBack"/>
      <w:bookmarkEnd w:id="0"/>
    </w:p>
    <w:sectPr w:rsidR="00B30CF1" w:rsidSect="00C45B7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8" w:rsidRDefault="00EE1AA8" w:rsidP="00EE1AA8">
      <w:pPr>
        <w:spacing w:after="0" w:line="240" w:lineRule="auto"/>
      </w:pPr>
      <w:r>
        <w:separator/>
      </w:r>
    </w:p>
  </w:endnote>
  <w:endnote w:type="continuationSeparator" w:id="0">
    <w:p w:rsidR="00EE1AA8" w:rsidRDefault="00EE1AA8" w:rsidP="00EE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8" w:rsidRDefault="00EE1AA8" w:rsidP="00EE1AA8">
      <w:pPr>
        <w:spacing w:after="0" w:line="240" w:lineRule="auto"/>
      </w:pPr>
      <w:r>
        <w:separator/>
      </w:r>
    </w:p>
  </w:footnote>
  <w:footnote w:type="continuationSeparator" w:id="0">
    <w:p w:rsidR="00EE1AA8" w:rsidRDefault="00EE1AA8" w:rsidP="00EE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A8" w:rsidRDefault="00EE1AA8" w:rsidP="00EE1AA8">
    <w:pPr>
      <w:pStyle w:val="Header"/>
      <w:jc w:val="right"/>
    </w:pPr>
    <w:r>
      <w:t xml:space="preserve">PGR Supervisor Development Programme </w:t>
    </w:r>
  </w:p>
  <w:p w:rsidR="00EE1AA8" w:rsidRDefault="00EE1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141B"/>
    <w:multiLevelType w:val="hybridMultilevel"/>
    <w:tmpl w:val="2C7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7C"/>
    <w:rsid w:val="00265983"/>
    <w:rsid w:val="00283D9A"/>
    <w:rsid w:val="00316CD4"/>
    <w:rsid w:val="003460E2"/>
    <w:rsid w:val="004858D0"/>
    <w:rsid w:val="0067358E"/>
    <w:rsid w:val="00B30CF1"/>
    <w:rsid w:val="00C45B7C"/>
    <w:rsid w:val="00EE1AA8"/>
    <w:rsid w:val="00F8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D9A"/>
    <w:pPr>
      <w:ind w:left="720"/>
      <w:contextualSpacing/>
    </w:pPr>
  </w:style>
  <w:style w:type="paragraph" w:styleId="Header">
    <w:name w:val="header"/>
    <w:basedOn w:val="Normal"/>
    <w:link w:val="HeaderChar"/>
    <w:uiPriority w:val="99"/>
    <w:unhideWhenUsed/>
    <w:rsid w:val="00EE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AA8"/>
  </w:style>
  <w:style w:type="paragraph" w:styleId="Footer">
    <w:name w:val="footer"/>
    <w:basedOn w:val="Normal"/>
    <w:link w:val="FooterChar"/>
    <w:uiPriority w:val="99"/>
    <w:unhideWhenUsed/>
    <w:rsid w:val="00EE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AA8"/>
  </w:style>
  <w:style w:type="paragraph" w:styleId="BalloonText">
    <w:name w:val="Balloon Text"/>
    <w:basedOn w:val="Normal"/>
    <w:link w:val="BalloonTextChar"/>
    <w:uiPriority w:val="99"/>
    <w:semiHidden/>
    <w:unhideWhenUsed/>
    <w:rsid w:val="00EE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D9A"/>
    <w:pPr>
      <w:ind w:left="720"/>
      <w:contextualSpacing/>
    </w:pPr>
  </w:style>
  <w:style w:type="paragraph" w:styleId="Header">
    <w:name w:val="header"/>
    <w:basedOn w:val="Normal"/>
    <w:link w:val="HeaderChar"/>
    <w:uiPriority w:val="99"/>
    <w:unhideWhenUsed/>
    <w:rsid w:val="00EE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AA8"/>
  </w:style>
  <w:style w:type="paragraph" w:styleId="Footer">
    <w:name w:val="footer"/>
    <w:basedOn w:val="Normal"/>
    <w:link w:val="FooterChar"/>
    <w:uiPriority w:val="99"/>
    <w:unhideWhenUsed/>
    <w:rsid w:val="00EE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AA8"/>
  </w:style>
  <w:style w:type="paragraph" w:styleId="BalloonText">
    <w:name w:val="Balloon Text"/>
    <w:basedOn w:val="Normal"/>
    <w:link w:val="BalloonTextChar"/>
    <w:uiPriority w:val="99"/>
    <w:semiHidden/>
    <w:unhideWhenUsed/>
    <w:rsid w:val="00EE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89B2-FE79-477D-9476-E24EF215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979BF70E</Template>
  <TotalTime>173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Sisson</dc:creator>
  <cp:lastModifiedBy>Kelly Sisson</cp:lastModifiedBy>
  <cp:revision>4</cp:revision>
  <dcterms:created xsi:type="dcterms:W3CDTF">2015-09-24T09:53:00Z</dcterms:created>
  <dcterms:modified xsi:type="dcterms:W3CDTF">2015-09-24T13:50:00Z</dcterms:modified>
</cp:coreProperties>
</file>